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00" w:after="40"/>
      </w:pPr>
      <w:r>
        <w:rPr>
          <w:rFonts w:ascii="Cambria" w:hAnsi="Cambria"/>
          <w:b/>
          <w:i w:val="0"/>
          <w:color w:val="1E293B"/>
          <w:sz w:val="40"/>
        </w:rPr>
        <w:t>Anforderungsdokument / Pflichtenheft</w:t>
      </w:r>
    </w:p>
    <w:p>
      <w:pPr>
        <w:spacing w:after="280"/>
      </w:pPr>
      <w:r>
        <w:rPr>
          <w:rFonts w:ascii="Cambria" w:hAnsi="Cambria"/>
          <w:b w:val="0"/>
          <w:i w:val="0"/>
          <w:color w:val="4F46E5"/>
          <w:sz w:val="21"/>
        </w:rPr>
        <w:t>Vorlage für Softwareprojekte — von Olio (olio.solutions)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4535"/>
        <w:gridCol w:w="2268"/>
        <w:gridCol w:w="2268"/>
      </w:tblGrid>
      <w:tr>
        <w:trPr>
          <w:tblHeader/>
        </w:trPr>
        <w:tc>
          <w:tcPr>
            <w:tcW w:w="250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Projekt</w:t>
            </w:r>
          </w:p>
        </w:tc>
        <w:tc>
          <w:tcPr>
            <w:tcW w:w="125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Datum</w:t>
            </w:r>
          </w:p>
        </w:tc>
        <w:tc>
          <w:tcPr>
            <w:tcW w:w="125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Version</w:t>
            </w:r>
          </w:p>
        </w:tc>
      </w:tr>
      <w:tr>
        <w:trPr>
          <w:cantSplit/>
          <w:trHeight w:val="380" w:hRule="atLeast"/>
        </w:trPr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25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25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spacing w:after="40"/>
      </w:pP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4535"/>
        <w:gridCol w:w="4535"/>
      </w:tblGrid>
      <w:tr>
        <w:trPr>
          <w:tblHeader/>
        </w:trPr>
        <w:tc>
          <w:tcPr>
            <w:tcW w:w="250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Ansprechpartner (fachlich)</w:t>
            </w:r>
          </w:p>
        </w:tc>
        <w:tc>
          <w:tcPr>
            <w:tcW w:w="250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Ansprechpartner (technisch/IT)</w:t>
            </w:r>
          </w:p>
        </w:tc>
      </w:tr>
      <w:tr>
        <w:trPr>
          <w:cantSplit/>
          <w:trHeight w:val="380" w:hRule="atLeast"/>
        </w:trPr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spacing w:after="80"/>
      </w:pP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9071"/>
      </w:tblGrid>
      <w:tr>
        <w:tc>
          <w:tcPr>
            <w:tcW w:w="5000" w:type="pct"/>
            <w:shd w:val="clear" w:fill="F8FAFC"/>
          </w:tcPr>
          <w:p>
            <w:r>
              <w:rPr>
                <w:rFonts w:ascii="Cambria" w:hAnsi="Cambria"/>
                <w:b/>
                <w:i w:val="0"/>
                <w:color w:val="4F46E5"/>
                <w:sz w:val="19"/>
              </w:rPr>
              <w:t xml:space="preserve">So benutzt ihr diese Vorlage:  </w:t>
            </w:r>
            <w:r>
              <w:rPr>
                <w:rFonts w:ascii="Cambria" w:hAnsi="Cambria"/>
                <w:b w:val="0"/>
                <w:i w:val="0"/>
                <w:color w:val="475569"/>
                <w:sz w:val="19"/>
              </w:rPr>
              <w:t>Füllt aus, was ihr sicher wisst, und markiert offene Punkte mit [OFFEN] — offene Fragen sind wertvoller als erfundene Antworten. Ein gutes Anforderungsdokument für ein Erstgespräch hat 2–4 Seiten; kein Kapitel darf Wochen kosten. Die Detailtiefe entsteht später gemeinsam im Scoping. (Klassisch beschreibt das Lastenheft das WAS aus Auftraggebersicht, das Pflichtenheft das WIE des Auftragnehmers — diese Vorlage ist bewusst die moderne Mischform für den Projektstart.)</w:t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1. Projektziel in drei Sätzen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Welches Geschäftsproblem soll die Software lösen? Woran merkt ihr nach 6 Monaten, dass das Projekt erfolgreich war (messbar: Stunden, Fehlerquote, Durchlaufzeit, Umsatz)?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3402"/>
        <w:gridCol w:w="5669"/>
      </w:tblGrid>
      <w:tr>
        <w:trPr>
          <w:tblHeader/>
        </w:trPr>
        <w:tc>
          <w:tcPr>
            <w:tcW w:w="187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Frage</w:t>
            </w:r>
          </w:p>
        </w:tc>
        <w:tc>
          <w:tcPr>
            <w:tcW w:w="312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Antwort</w:t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Problem heute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Ziel (messbar)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Was passiert, wenn wir nichts tun?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2. Ausgangslage &amp; Ist-Prozess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Wie läuft der Prozess heute ab (Werkzeuge, Excel-Dateien, E-Mail-Schleifen, Medienbrüche)? Wer macht was? Wo genau geht Zeit verloren oder entstehen Fehler?</w:t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3. Ziele &amp; Nicht-Ziele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Die wichtigste Tabelle des Dokuments: Was ausdrücklich NICHT Teil von Version 1 ist, verhindert die teuersten Missverständnisse.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4535"/>
        <w:gridCol w:w="4535"/>
      </w:tblGrid>
      <w:tr>
        <w:trPr>
          <w:tblHeader/>
        </w:trPr>
        <w:tc>
          <w:tcPr>
            <w:tcW w:w="250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In Version 1 enthalten</w:t>
            </w:r>
          </w:p>
        </w:tc>
        <w:tc>
          <w:tcPr>
            <w:tcW w:w="250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Ausdrücklich NICHT enthalten (später/nie)</w:t>
            </w:r>
          </w:p>
        </w:tc>
      </w:tr>
      <w:tr>
        <w:trPr>
          <w:cantSplit/>
          <w:trHeight w:val="380" w:hRule="atLeast"/>
        </w:trPr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2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4. Nutzer &amp; Rollen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2268"/>
        <w:gridCol w:w="1134"/>
        <w:gridCol w:w="3118"/>
        <w:gridCol w:w="2551"/>
      </w:tblGrid>
      <w:tr>
        <w:trPr>
          <w:tblHeader/>
        </w:trPr>
        <w:tc>
          <w:tcPr>
            <w:tcW w:w="125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Rolle</w:t>
            </w:r>
          </w:p>
        </w:tc>
        <w:tc>
          <w:tcPr>
            <w:tcW w:w="62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Anzahl</w:t>
            </w:r>
          </w:p>
        </w:tc>
        <w:tc>
          <w:tcPr>
            <w:tcW w:w="1719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Was sie im System tut</w:t>
            </w:r>
          </w:p>
        </w:tc>
        <w:tc>
          <w:tcPr>
            <w:tcW w:w="1406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Rechte-Besonderheiten</w:t>
            </w:r>
          </w:p>
        </w:tc>
      </w:tr>
      <w:tr>
        <w:trPr>
          <w:cantSplit/>
          <w:trHeight w:val="380" w:hRule="atLeast"/>
        </w:trPr>
        <w:tc>
          <w:tcPr>
            <w:tcW w:w="1250" w:type="pct"/>
          </w:tcPr>
          <w:p>
            <w:r>
              <w:rPr>
                <w:rFonts w:ascii="Cambria" w:hAnsi="Cambria"/>
                <w:b w:val="0"/>
                <w:i/>
                <w:color w:val="475569"/>
                <w:sz w:val="19"/>
              </w:rPr>
              <w:t>z. B. Sachbearbeitung</w:t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12</w:t>
            </w:r>
          </w:p>
        </w:tc>
        <w:tc>
          <w:tcPr>
            <w:tcW w:w="1719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Vorgänge anlegen, prüfen</w:t>
            </w:r>
          </w:p>
        </w:tc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sieht nur eigene Region</w:t>
            </w:r>
          </w:p>
        </w:tc>
      </w:tr>
      <w:tr>
        <w:trPr>
          <w:cantSplit/>
          <w:trHeight w:val="380" w:hRule="atLeast"/>
        </w:trPr>
        <w:tc>
          <w:tcPr>
            <w:tcW w:w="125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719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125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719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5. Funktionale Anforderungen (priorisiert)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Als Nutzer-Geschichten mit MoSCoW-Priorität: Muss (ohne geht Version 1 nicht live), Soll (wichtig, aber verschiebbar), Kann (nice-to-have).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680"/>
        <w:gridCol w:w="1984"/>
        <w:gridCol w:w="2835"/>
        <w:gridCol w:w="2438"/>
        <w:gridCol w:w="1134"/>
      </w:tblGrid>
      <w:tr>
        <w:trPr>
          <w:tblHeader/>
        </w:trPr>
        <w:tc>
          <w:tcPr>
            <w:tcW w:w="37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#</w:t>
            </w:r>
          </w:p>
        </w:tc>
        <w:tc>
          <w:tcPr>
            <w:tcW w:w="1094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Als …</w:t>
            </w:r>
          </w:p>
        </w:tc>
        <w:tc>
          <w:tcPr>
            <w:tcW w:w="1562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möchte ich …</w:t>
            </w:r>
          </w:p>
        </w:tc>
        <w:tc>
          <w:tcPr>
            <w:tcW w:w="1344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damit …</w:t>
            </w:r>
          </w:p>
        </w:tc>
        <w:tc>
          <w:tcPr>
            <w:tcW w:w="62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Priorität</w:t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F1</w:t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34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Muss</w:t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F2</w:t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34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Soll</w:t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F3</w:t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34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Kann</w:t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F4</w:t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34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F5</w:t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34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6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6. Nicht-funktionale Anforderungen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Nur ausfüllen, was für euch wirklich gilt — leere Zeilen sind erlaubt.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2551"/>
        <w:gridCol w:w="6520"/>
      </w:tblGrid>
      <w:tr>
        <w:trPr>
          <w:tblHeader/>
        </w:trPr>
        <w:tc>
          <w:tcPr>
            <w:tcW w:w="1406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Thema</w:t>
            </w:r>
          </w:p>
        </w:tc>
        <w:tc>
          <w:tcPr>
            <w:tcW w:w="3594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Anforderung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Nutzerzahl / Last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/>
                <w:color w:val="475569"/>
                <w:sz w:val="19"/>
              </w:rPr>
              <w:t>z. B. 50 gleichzeitige Nutzer, 10.000 Vorgänge/Monat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Verfügbarkeit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/>
                <w:color w:val="475569"/>
                <w:sz w:val="19"/>
              </w:rPr>
              <w:t>z. B. werktags 6–20 Uhr kritisch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Datenschutz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personenbezogene Daten? Besondere Kategorien? AVV nötig?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Hosting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EU/Deutschland zwingend? Bestehende Cloud-Verträge?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Sicherheit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SSO/2FA, Audit-Log, Rollen — was ist Pflicht?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Geräte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Desktop, Tablet in der Halle, Smartphone unterwegs?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Barrierefreiheit</w:t>
            </w:r>
          </w:p>
        </w:tc>
        <w:tc>
          <w:tcPr>
            <w:tcW w:w="35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gesetzliche Anforderungen (z. B. BFSG)?</w:t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7. Schnittstellen &amp; Systemlandschaft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Welche Systeme müssen angebunden werden? Ehrliche Angaben zur API-Lage sparen die größten Überraschungen.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2551"/>
        <w:gridCol w:w="2835"/>
        <w:gridCol w:w="1984"/>
        <w:gridCol w:w="1701"/>
      </w:tblGrid>
      <w:tr>
        <w:trPr>
          <w:tblHeader/>
        </w:trPr>
        <w:tc>
          <w:tcPr>
            <w:tcW w:w="1406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System</w:t>
            </w:r>
          </w:p>
        </w:tc>
        <w:tc>
          <w:tcPr>
            <w:tcW w:w="1562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Zweck der Anbindung</w:t>
            </w:r>
          </w:p>
        </w:tc>
        <w:tc>
          <w:tcPr>
            <w:tcW w:w="1094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Dokumentierte API?</w:t>
            </w:r>
          </w:p>
        </w:tc>
        <w:tc>
          <w:tcPr>
            <w:tcW w:w="938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Testzugang möglich?</w:t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/>
                <w:color w:val="475569"/>
                <w:sz w:val="19"/>
              </w:rPr>
              <w:t>z. B. ERP (Name, Version)</w:t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Aufträge lesen</w:t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[OFFEN]</w:t>
            </w:r>
          </w:p>
        </w:tc>
        <w:tc>
          <w:tcPr>
            <w:tcW w:w="938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938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1406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62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094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938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8. Daten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Welche Daten verwaltet das System (grob)? Müssen Bestandsdaten migriert werden — aus welchen Quellen, in welcher Qualität? Gibt es Aufbewahrungs- oder Löschfristen?</w:t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9. Rahmenbedingungen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3402"/>
        <w:gridCol w:w="5669"/>
      </w:tblGrid>
      <w:tr>
        <w:trPr>
          <w:tblHeader/>
        </w:trPr>
        <w:tc>
          <w:tcPr>
            <w:tcW w:w="187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Thema</w:t>
            </w:r>
          </w:p>
        </w:tc>
        <w:tc>
          <w:tcPr>
            <w:tcW w:w="312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Angabe</w:t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Budgetrahmen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von–bis (eine ehrliche Spanne beschleunigt jedes Angebot)</w:t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Wunschtermin / harter Termin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und warum</w:t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Interne Kapazität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wer beantwortet Fachfragen, wie schnell?</w:t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Entscheidungsweg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wer gibt frei?</w:t>
            </w:r>
          </w:p>
        </w:tc>
      </w:tr>
      <w:tr>
        <w:trPr>
          <w:cantSplit/>
          <w:trHeight w:val="380" w:hRule="atLeast"/>
        </w:trPr>
        <w:tc>
          <w:tcPr>
            <w:tcW w:w="18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Bestehender Code / Vorarbeiten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gibt es etwas, worauf aufgebaut werden soll?</w:t>
            </w:r>
          </w:p>
        </w:tc>
      </w:tr>
    </w:tbl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10. Abnahme &amp; Betrieb</w:t>
      </w:r>
    </w:p>
    <w:p>
      <w:pPr>
        <w:spacing w:after="120"/>
      </w:pPr>
      <w:r>
        <w:rPr>
          <w:rFonts w:ascii="Cambria" w:hAnsi="Cambria"/>
          <w:b w:val="0"/>
          <w:i/>
          <w:color w:val="475569"/>
          <w:sz w:val="18"/>
        </w:rPr>
        <w:t>Woran wird Version 1 abgenommen (Bezug auf die Muss-Anforderungen aus Kapitel 5)? Wer betreibt und wartet die Software nach dem Launch — Dienstleister, internes Team, Übergang?</w:t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keepNext/>
        <w:spacing w:before="320" w:after="120"/>
      </w:pPr>
      <w:r>
        <w:rPr>
          <w:rFonts w:ascii="Cambria" w:hAnsi="Cambria"/>
          <w:b/>
          <w:i w:val="0"/>
          <w:color w:val="4F46E5"/>
          <w:sz w:val="26"/>
        </w:rPr>
        <w:t>11. Offene Fragen</w:t>
      </w:r>
    </w:p>
    <w:tbl>
      <w:tblPr>
        <w:tblW w:w="5000" w:type="pct"/>
        <w:tblLook w:firstColumn="1" w:firstRow="1" w:lastColumn="0" w:lastRow="0" w:noHBand="0" w:noVBand="1" w:val="04A0"/>
        <w:jc w:val="center"/>
        <w:tblBorders>
          <w:top w:val="single" w:sz="4" w:space="0" w:color="CBD5E1"/>
          <w:left w:val="single" w:sz="4" w:space="0" w:color="CBD5E1"/>
          <w:bottom w:val="single" w:sz="4" w:space="0" w:color="CBD5E1"/>
          <w:right w:val="single" w:sz="4" w:space="0" w:color="CBD5E1"/>
          <w:insideH w:val="single" w:sz="4" w:space="0" w:color="CBD5E1"/>
          <w:insideV w:val="single" w:sz="4" w:space="0" w:color="CBD5E1"/>
        </w:tblBorders>
        <w:tblLayout w:type="fixed"/>
        <w:tblCellMar>
          <w:top w:w="80" w:type="dxa"/>
          <w:bottom w:w="80" w:type="dxa"/>
          <w:start w:w="110" w:type="dxa"/>
          <w:end w:w="110" w:type="dxa"/>
        </w:tblCellMar>
      </w:tblPr>
      <w:tblGrid>
        <w:gridCol w:w="680"/>
        <w:gridCol w:w="5669"/>
        <w:gridCol w:w="2721"/>
      </w:tblGrid>
      <w:tr>
        <w:trPr>
          <w:tblHeader/>
        </w:trPr>
        <w:tc>
          <w:tcPr>
            <w:tcW w:w="37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#</w:t>
            </w:r>
          </w:p>
        </w:tc>
        <w:tc>
          <w:tcPr>
            <w:tcW w:w="3125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Frage</w:t>
            </w:r>
          </w:p>
        </w:tc>
        <w:tc>
          <w:tcPr>
            <w:tcW w:w="1500" w:type="pct"/>
            <w:shd w:val="clear" w:fill="4F46E5"/>
          </w:tcPr>
          <w:p>
            <w:r>
              <w:rPr>
                <w:rFonts w:ascii="Cambria" w:hAnsi="Cambria"/>
                <w:b/>
                <w:i w:val="0"/>
                <w:color w:val="FFFFFF"/>
                <w:sz w:val="19"/>
              </w:rPr>
              <w:t>Wer klärt bis wann?</w:t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1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2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  <w:tr>
        <w:trPr>
          <w:cantSplit/>
          <w:trHeight w:val="380" w:hRule="atLeast"/>
        </w:trPr>
        <w:tc>
          <w:tcPr>
            <w:tcW w:w="37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  <w:t>3</w:t>
            </w:r>
          </w:p>
        </w:tc>
        <w:tc>
          <w:tcPr>
            <w:tcW w:w="3125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  <w:tc>
          <w:tcPr>
            <w:tcW w:w="1500" w:type="pct"/>
          </w:tcPr>
          <w:p>
            <w:r>
              <w:rPr>
                <w:rFonts w:ascii="Cambria" w:hAnsi="Cambria"/>
                <w:b w:val="0"/>
                <w:i w:val="0"/>
                <w:color w:val="1E293B"/>
                <w:sz w:val="19"/>
              </w:rPr>
            </w:r>
          </w:p>
        </w:tc>
      </w:tr>
    </w:tbl>
    <w:p>
      <w:pPr>
        <w:spacing w:after="120"/>
      </w:pPr>
      <w:r>
        <w:rPr>
          <w:rFonts w:ascii="Cambria" w:hAnsi="Cambria"/>
          <w:b w:val="0"/>
          <w:i w:val="0"/>
          <w:color w:val="1E293B"/>
          <w:sz w:val="20"/>
        </w:rPr>
      </w:r>
    </w:p>
    <w:p>
      <w:pPr>
        <w:spacing w:before="200"/>
      </w:pPr>
      <w:r>
        <w:rPr>
          <w:rFonts w:ascii="Cambria" w:hAnsi="Cambria"/>
          <w:b w:val="0"/>
          <w:i/>
          <w:color w:val="475569"/>
          <w:sz w:val="17"/>
        </w:rPr>
        <w:t>Vorlage von Olio (olio.solutions) — Software-Agentur für Individualsoftware, KI-Integration und Cloud. Stand Juli 2026, frei verwendbar. Fragen zum Ausfüllen? Das Erstgespräch ist kostenlos: olio.solutions/services/software-entwickeln-lassen</w:t>
      </w:r>
    </w:p>
    <w:sectPr w:rsidR="00FC693F" w:rsidRPr="0006063C" w:rsidSect="00034616">
      <w:footerReference w:type="default" r:id="rId9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mbria" w:hAnsi="Cambria"/>
        <w:b w:val="0"/>
        <w:i w:val="0"/>
        <w:color w:val="475569"/>
        <w:sz w:val="16"/>
      </w:rPr>
      <w:t xml:space="preserve">Olio · olio.solutions · Pflichtenheft-Vorlage  ·  Seite </w:t>
    </w:r>
    <w:fldSimple w:instr="PAGE">
      <w:r>
        <w:t>1</w:t>
      </w:r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eastAsiaTheme="minorEastAsia" w:ascii="Cambria" w:hAnsi="Cambria" w:cs="Cambria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mbria" w:hAnsi="Cambria"/>
      <w:color w:val="1E29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